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F7" w:rsidRPr="004877D1" w:rsidRDefault="005653F7" w:rsidP="005653F7">
      <w:pPr>
        <w:pStyle w:val="Listaszerbekezds"/>
        <w:spacing w:after="0" w:line="240" w:lineRule="auto"/>
        <w:ind w:left="360"/>
        <w:jc w:val="both"/>
        <w:rPr>
          <w:rFonts w:ascii="Cambria" w:hAnsi="Cambria"/>
          <w:b/>
        </w:rPr>
      </w:pPr>
      <w:r w:rsidRPr="004877D1">
        <w:rPr>
          <w:rFonts w:ascii="Cambria" w:hAnsi="Cambria"/>
          <w:b/>
        </w:rPr>
        <w:t>Szakmai műhelyek</w:t>
      </w:r>
    </w:p>
    <w:p w:rsidR="005653F7" w:rsidRPr="004877D1" w:rsidRDefault="005653F7" w:rsidP="005653F7">
      <w:pPr>
        <w:spacing w:after="0" w:line="240" w:lineRule="auto"/>
        <w:jc w:val="both"/>
        <w:rPr>
          <w:rFonts w:ascii="Cambria" w:hAnsi="Cambria"/>
        </w:rPr>
      </w:pPr>
      <w:r w:rsidRPr="004877D1">
        <w:rPr>
          <w:rFonts w:ascii="Cambria" w:hAnsi="Cambria"/>
        </w:rPr>
        <w:t xml:space="preserve">Egy többszereplős, nemzetközi partnerségre építő projekt megkerülhetetlen része a szakmai megbeszélés és egyeztetés. A projekt során négy szakmai műhely került lebonyolításra. Ezek szerepe az volt, hogy a főbb projekteseményeket, produktumokat szakmailag előkészítsék, valamint a magyar és horvát résztvevők kooperációját, szakmai párbeszédét elősegítsék. Így a kutatás részleteinek megbeszélésére, a képzési programok akkreditációjáról egyeztetésre, valamint a </w:t>
      </w:r>
      <w:proofErr w:type="spellStart"/>
      <w:r w:rsidRPr="004877D1">
        <w:rPr>
          <w:rFonts w:ascii="Cambria" w:hAnsi="Cambria"/>
        </w:rPr>
        <w:t>tananyagfejlesztési</w:t>
      </w:r>
      <w:proofErr w:type="spellEnd"/>
      <w:r w:rsidRPr="004877D1">
        <w:rPr>
          <w:rFonts w:ascii="Cambria" w:hAnsi="Cambria"/>
        </w:rPr>
        <w:t xml:space="preserve"> és a képzésszervezési vállalások megvalósításához szükséges egyeztetésre, továbbá a projektzárás és a </w:t>
      </w:r>
      <w:proofErr w:type="spellStart"/>
      <w:r w:rsidRPr="004877D1">
        <w:rPr>
          <w:rFonts w:ascii="Cambria" w:hAnsi="Cambria"/>
        </w:rPr>
        <w:t>disszemináció</w:t>
      </w:r>
      <w:proofErr w:type="spellEnd"/>
      <w:r w:rsidRPr="004877D1">
        <w:rPr>
          <w:rFonts w:ascii="Cambria" w:hAnsi="Cambria"/>
        </w:rPr>
        <w:t xml:space="preserve"> részleteinek pontosítására szerveződtek ezek a szakmai műhelyek. A találkozók a közreműködő partnerek szervezésében valósultak meg, mindig az adott projektesemény felelőse látta vendégül a horvát, illetve magyar résztvevőket. Ezek az alkalmak lehetőséget adtak a két ország, valamint a résztvevő szervezetek működési módjának, eljárásainak, gyakorlatának a megismerésére. </w:t>
      </w:r>
    </w:p>
    <w:p w:rsidR="005653F7" w:rsidRPr="004877D1" w:rsidRDefault="005653F7" w:rsidP="005653F7">
      <w:pPr>
        <w:spacing w:after="0" w:line="240" w:lineRule="auto"/>
        <w:jc w:val="both"/>
        <w:rPr>
          <w:rFonts w:ascii="Cambria" w:hAnsi="Cambria"/>
        </w:rPr>
      </w:pPr>
      <w:r w:rsidRPr="004877D1">
        <w:rPr>
          <w:rFonts w:ascii="Cambria" w:hAnsi="Cambria"/>
        </w:rPr>
        <w:t xml:space="preserve"> </w:t>
      </w:r>
    </w:p>
    <w:p w:rsidR="005653F7" w:rsidRPr="004877D1" w:rsidRDefault="005653F7" w:rsidP="005653F7">
      <w:pPr>
        <w:spacing w:after="0" w:line="240" w:lineRule="auto"/>
        <w:jc w:val="both"/>
        <w:rPr>
          <w:rFonts w:ascii="Cambria" w:hAnsi="Cambria"/>
          <w:color w:val="FF0000"/>
        </w:rPr>
      </w:pPr>
    </w:p>
    <w:p w:rsidR="005653F7" w:rsidRPr="004877D1" w:rsidRDefault="005653F7" w:rsidP="005653F7">
      <w:pPr>
        <w:spacing w:after="0" w:line="240" w:lineRule="auto"/>
        <w:jc w:val="both"/>
        <w:rPr>
          <w:rFonts w:ascii="Cambria" w:hAnsi="Cambria"/>
          <w:color w:val="FF0000"/>
        </w:rPr>
      </w:pPr>
      <w:r>
        <w:rPr>
          <w:rFonts w:ascii="Cambria" w:hAnsi="Cambria"/>
          <w:noProof/>
          <w:color w:val="FF0000"/>
          <w:lang w:eastAsia="hu-HU"/>
        </w:rPr>
        <w:drawing>
          <wp:inline distT="0" distB="0" distL="0" distR="0">
            <wp:extent cx="5982335" cy="3745865"/>
            <wp:effectExtent l="19050" t="0" r="0" b="0"/>
            <wp:docPr id="1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374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3F7" w:rsidRPr="004877D1" w:rsidRDefault="005653F7" w:rsidP="005653F7">
      <w:pPr>
        <w:spacing w:after="0" w:line="240" w:lineRule="auto"/>
        <w:jc w:val="both"/>
        <w:rPr>
          <w:rFonts w:ascii="Cambria" w:hAnsi="Cambria"/>
          <w:color w:val="FF0000"/>
        </w:rPr>
      </w:pPr>
      <w:r>
        <w:rPr>
          <w:rFonts w:ascii="Cambria" w:hAnsi="Cambria"/>
          <w:noProof/>
          <w:color w:val="FF0000"/>
          <w:lang w:eastAsia="hu-HU"/>
        </w:rPr>
        <w:lastRenderedPageBreak/>
        <w:drawing>
          <wp:inline distT="0" distB="0" distL="0" distR="0">
            <wp:extent cx="5993130" cy="3239135"/>
            <wp:effectExtent l="19050" t="0" r="7620" b="0"/>
            <wp:docPr id="2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323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3F7" w:rsidRPr="004877D1" w:rsidRDefault="005653F7" w:rsidP="005653F7">
      <w:pPr>
        <w:spacing w:after="0" w:line="240" w:lineRule="auto"/>
        <w:jc w:val="both"/>
        <w:rPr>
          <w:rFonts w:ascii="Cambria" w:hAnsi="Cambria"/>
          <w:color w:val="FF0000"/>
        </w:rPr>
      </w:pPr>
      <w:r>
        <w:rPr>
          <w:rFonts w:ascii="Cambria" w:hAnsi="Cambria"/>
          <w:noProof/>
          <w:color w:val="FF0000"/>
          <w:lang w:eastAsia="hu-HU"/>
        </w:rPr>
        <w:drawing>
          <wp:inline distT="0" distB="0" distL="0" distR="0">
            <wp:extent cx="5982335" cy="3360420"/>
            <wp:effectExtent l="19050" t="0" r="0" b="0"/>
            <wp:docPr id="3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92" b="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3F7" w:rsidRPr="004877D1" w:rsidRDefault="005653F7" w:rsidP="005653F7">
      <w:pPr>
        <w:spacing w:after="0" w:line="240" w:lineRule="auto"/>
        <w:jc w:val="both"/>
        <w:rPr>
          <w:rFonts w:ascii="Cambria" w:hAnsi="Cambria"/>
          <w:color w:val="FF0000"/>
        </w:rPr>
      </w:pPr>
    </w:p>
    <w:p w:rsidR="005653F7" w:rsidRPr="004877D1" w:rsidRDefault="005653F7" w:rsidP="005653F7">
      <w:pPr>
        <w:spacing w:after="0" w:line="240" w:lineRule="auto"/>
        <w:jc w:val="both"/>
        <w:rPr>
          <w:rFonts w:ascii="Cambria" w:hAnsi="Cambria"/>
          <w:color w:val="FF0000"/>
        </w:rPr>
      </w:pPr>
      <w:r>
        <w:rPr>
          <w:rFonts w:ascii="Cambria" w:hAnsi="Cambria"/>
          <w:noProof/>
          <w:color w:val="FF0000"/>
          <w:lang w:eastAsia="hu-HU"/>
        </w:rPr>
        <w:lastRenderedPageBreak/>
        <w:drawing>
          <wp:inline distT="0" distB="0" distL="0" distR="0">
            <wp:extent cx="5982335" cy="3239135"/>
            <wp:effectExtent l="19050" t="0" r="0" b="0"/>
            <wp:docPr id="4" name="Kép 24" descr="20181120_13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4" descr="20181120_1314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323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3F7" w:rsidRPr="004877D1" w:rsidRDefault="005653F7" w:rsidP="005653F7">
      <w:pPr>
        <w:spacing w:after="0" w:line="240" w:lineRule="auto"/>
        <w:jc w:val="both"/>
        <w:rPr>
          <w:rFonts w:ascii="Cambria" w:hAnsi="Cambria"/>
          <w:color w:val="FF0000"/>
        </w:rPr>
      </w:pPr>
    </w:p>
    <w:p w:rsidR="005863C6" w:rsidRDefault="005863C6"/>
    <w:sectPr w:rsidR="005863C6" w:rsidSect="00586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5653F7"/>
    <w:rsid w:val="00172A0B"/>
    <w:rsid w:val="005653F7"/>
    <w:rsid w:val="0058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53F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3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53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876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Tulajdonos</cp:lastModifiedBy>
  <cp:revision>1</cp:revision>
  <dcterms:created xsi:type="dcterms:W3CDTF">2019-03-20T20:23:00Z</dcterms:created>
  <dcterms:modified xsi:type="dcterms:W3CDTF">2019-03-20T20:24:00Z</dcterms:modified>
</cp:coreProperties>
</file>